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1E5C6C" w:rsidRPr="007B4CBF" w:rsidTr="00C065BF">
        <w:trPr>
          <w:jc w:val="center"/>
        </w:trPr>
        <w:tc>
          <w:tcPr>
            <w:tcW w:w="4677" w:type="dxa"/>
          </w:tcPr>
          <w:p w:rsidR="001E5C6C" w:rsidRPr="007B4CBF" w:rsidRDefault="001E5C6C" w:rsidP="00C065BF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ӊ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Х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кими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r w:rsidRPr="007B4CBF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1E5C6C" w:rsidRPr="007B4CBF" w:rsidRDefault="001E5C6C" w:rsidP="00C0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903605" cy="946150"/>
                  <wp:effectExtent l="19050" t="0" r="0" b="0"/>
                  <wp:docPr id="33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E5C6C" w:rsidRPr="007B4CBF" w:rsidRDefault="001E5C6C" w:rsidP="00C065B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1E5C6C" w:rsidRPr="007B4CBF" w:rsidRDefault="001E5C6C" w:rsidP="00C065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1E5C6C" w:rsidRPr="007B4CBF" w:rsidRDefault="001E5C6C" w:rsidP="00C065BF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1E5C6C" w:rsidRPr="007B4CBF" w:rsidRDefault="001E5C6C" w:rsidP="00C065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1E5C6C" w:rsidRPr="007B4CBF" w:rsidRDefault="001E5C6C" w:rsidP="00C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1E5C6C" w:rsidRPr="007B4CBF" w:rsidRDefault="001E5C6C" w:rsidP="001E5C6C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4C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1E5C6C" w:rsidRPr="007B4CBF" w:rsidRDefault="001E5C6C" w:rsidP="001E5C6C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1E5C6C" w:rsidRPr="007B4CBF" w:rsidTr="00C065BF">
        <w:trPr>
          <w:jc w:val="center"/>
        </w:trPr>
        <w:tc>
          <w:tcPr>
            <w:tcW w:w="4471" w:type="dxa"/>
            <w:hideMark/>
          </w:tcPr>
          <w:p w:rsidR="001E5C6C" w:rsidRPr="007B4CBF" w:rsidRDefault="001E5C6C" w:rsidP="00C065BF">
            <w:pPr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 </w:t>
            </w: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</w:p>
        </w:tc>
        <w:tc>
          <w:tcPr>
            <w:tcW w:w="1660" w:type="dxa"/>
            <w:hideMark/>
          </w:tcPr>
          <w:p w:rsidR="001E5C6C" w:rsidRPr="007B4CBF" w:rsidRDefault="001E5C6C" w:rsidP="00C065BF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332" w:type="dxa"/>
            <w:hideMark/>
          </w:tcPr>
          <w:p w:rsidR="001E5C6C" w:rsidRPr="007B4CBF" w:rsidRDefault="001E5C6C" w:rsidP="00C065BF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1E5C6C" w:rsidRPr="007B4CBF" w:rsidTr="00C065BF">
        <w:trPr>
          <w:jc w:val="center"/>
        </w:trPr>
        <w:tc>
          <w:tcPr>
            <w:tcW w:w="4471" w:type="dxa"/>
            <w:hideMark/>
          </w:tcPr>
          <w:p w:rsidR="001E5C6C" w:rsidRPr="007B4CBF" w:rsidRDefault="001E5C6C" w:rsidP="00C065B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 май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1E5C6C" w:rsidRPr="007B4CBF" w:rsidRDefault="001E5C6C" w:rsidP="00C065B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  <w:hideMark/>
          </w:tcPr>
          <w:p w:rsidR="001E5C6C" w:rsidRPr="007B4CBF" w:rsidRDefault="001E5C6C" w:rsidP="00C065B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 мая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г.</w:t>
            </w:r>
          </w:p>
        </w:tc>
      </w:tr>
    </w:tbl>
    <w:p w:rsidR="001E5C6C" w:rsidRDefault="001E5C6C" w:rsidP="001E5C6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D8" w:rsidRDefault="001E5C6C" w:rsidP="001E5C6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9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59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исполнения решения о применении </w:t>
      </w:r>
    </w:p>
    <w:p w:rsidR="001E5C6C" w:rsidRDefault="001E5C6C" w:rsidP="001E5C6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9E">
        <w:rPr>
          <w:rFonts w:ascii="Times New Roman" w:eastAsia="Times New Roman" w:hAnsi="Times New Roman" w:cs="Times New Roman"/>
          <w:b/>
          <w:sz w:val="28"/>
          <w:szCs w:val="28"/>
        </w:rPr>
        <w:t>бюджетных мер принуждения</w:t>
      </w:r>
    </w:p>
    <w:p w:rsidR="001E5C6C" w:rsidRPr="00636C9C" w:rsidRDefault="001E5C6C" w:rsidP="001E5C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6C" w:rsidRDefault="001E5C6C" w:rsidP="001E5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В соответствии с пунктом 2 статьи 306.3 Бюджетного кодекса Российской Федерации</w:t>
      </w:r>
    </w:p>
    <w:p w:rsidR="001E5C6C" w:rsidRDefault="001E5C6C" w:rsidP="001E5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6C" w:rsidRPr="00084B0A" w:rsidRDefault="001E5C6C" w:rsidP="001E5C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B0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E5C6C" w:rsidRPr="00636C9C" w:rsidRDefault="001E5C6C" w:rsidP="001E5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</w:t>
      </w:r>
      <w:r w:rsidRPr="00636C9C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исполнения решения о применении бюджетных мер принуждения.</w:t>
      </w:r>
    </w:p>
    <w:p w:rsidR="001E5C6C" w:rsidRPr="0079698C" w:rsidRDefault="001E5C6C" w:rsidP="001E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698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969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79698C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9698C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 </w:t>
      </w:r>
    </w:p>
    <w:p w:rsidR="001E5C6C" w:rsidRPr="0079698C" w:rsidRDefault="001E5C6C" w:rsidP="001E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5C6C" w:rsidRDefault="001E5C6C" w:rsidP="001E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5C6C" w:rsidRPr="0079698C" w:rsidRDefault="001E5C6C" w:rsidP="001E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5C6C" w:rsidRDefault="001E5C6C" w:rsidP="001E5C6C">
      <w:pPr>
        <w:tabs>
          <w:tab w:val="left" w:pos="4180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>Глава сельского поселения</w:t>
      </w: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79698C">
        <w:rPr>
          <w:rFonts w:ascii="Times New Roman" w:eastAsia="Times New Roman" w:hAnsi="Times New Roman" w:cs="Times New Roman"/>
          <w:iCs/>
          <w:sz w:val="28"/>
          <w:szCs w:val="28"/>
        </w:rPr>
        <w:tab/>
        <w:t>Р.Н. Рахматуллин</w:t>
      </w: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Pr="00FA1F7B" w:rsidRDefault="001E5C6C" w:rsidP="001E5C6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FA1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1E5C6C" w:rsidRPr="00FA1F7B" w:rsidRDefault="001E5C6C" w:rsidP="001E5C6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FA1F7B">
        <w:rPr>
          <w:rFonts w:ascii="Times New Roman" w:eastAsia="Times New Roman" w:hAnsi="Times New Roman" w:cs="Times New Roman"/>
          <w:sz w:val="24"/>
          <w:szCs w:val="24"/>
        </w:rPr>
        <w:t>к постановлению главы сельского поселения Угузевский сельсовет муниципального района Бирский район Республики Башкортостан</w:t>
      </w:r>
    </w:p>
    <w:p w:rsidR="001E5C6C" w:rsidRPr="00FA1F7B" w:rsidRDefault="001E5C6C" w:rsidP="001E5C6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FA1F7B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A1F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A1F7B">
        <w:rPr>
          <w:rFonts w:ascii="Times New Roman" w:eastAsia="Times New Roman" w:hAnsi="Times New Roman" w:cs="Times New Roman"/>
          <w:sz w:val="24"/>
          <w:szCs w:val="24"/>
        </w:rPr>
        <w:t xml:space="preserve"> 2022 года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1E5C6C" w:rsidRPr="009D11B2" w:rsidRDefault="001E5C6C" w:rsidP="001E5C6C">
      <w:pPr>
        <w:spacing w:after="0" w:line="259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исполнения решения о применении бюджетных мер принуждения</w:t>
      </w: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I.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Общие положения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F53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устанавливает правила исполнения решения 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Угузевский </w:t>
      </w:r>
      <w:r w:rsidRPr="00F53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Бирский </w:t>
      </w:r>
      <w:r w:rsidRPr="00F5322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  <w:proofErr w:type="gramEnd"/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Угузевский сельсовет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Бирский район Республики Башкортостан (далее - бюджет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</w:t>
      </w:r>
      <w:proofErr w:type="gram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источников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(нарушители бюджетного законодательства), которому предоставлены средства из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, за совершение которого предусмотрено применение бюджетных мер принуждения.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Нецелевым использованием бюджетных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признается направление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оплата денежных обязательств в целях, не соответствующих полностью или частично целям, определенным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Угузевский сельсовет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Бирский район Республики Башкортостан, сводной бюджетной росписью, бюджетной росписью, бюджетной сметой, нормативно-правовыми актами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Угузевский сельсовет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Бирский район</w:t>
      </w:r>
      <w:proofErr w:type="gram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договором (соглашением) либо иным документом, являющимся правовым основанием предоставления указанных средств.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1.4.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F53227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Угузевский сельсовет муниципального района Бирский</w:t>
      </w:r>
      <w:r w:rsidRPr="00F532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или соответствующий главный распорядитель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Угузевский сельсовет муниципального района Бирский</w:t>
      </w:r>
      <w:r w:rsidRPr="00F532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Угузевский сельсовет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Бирский</w:t>
      </w:r>
      <w:r w:rsidRPr="00F532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установленных пунктом 3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администрацию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Угузевский сельсовет муниципального района Бирский район Республики Башкортостан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о факте бюджетного нарушения по форме согласно Приложению № 1 к настоящему Порядку, с целью принятия бюджетных мер принуждения.</w:t>
      </w:r>
      <w:proofErr w:type="gramEnd"/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II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Бюджетные меры принуждения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 нарушителям бюджетного законодательства могут быть применены следующие бюджетные меры принуждения: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2.1.1.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бесспорное взыскание суммы средств, предоставленных из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другому бюджету бюджетной системы Российской Федерации;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2.1.2.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бесспорное взыскание суммы платы за пользование средствами, предоставленными из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другому бюджету бюджетной системы Российской Федерации;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2.1.3.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бесспорное взыскание пеней за несвоевременный возврат средств бюджета;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2.1.4.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приостановление (сокращение) предоставления межбюджетных трансфертов (за исключением субвенций);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2.1.5.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передача уполномоченному по бюджету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полномочий главного распорядителя, распорядителя и получателя бюджетных средств.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Решение о бесспорном взыскании суммы средств бюджетного кредита, принимается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Угузевский сельсовет муниципального района Бирский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) в следующих случаях и размерах: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средств бюджетного кредита в размере суммы средств, использованных не по целевому назначению;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2.2.2.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невозврата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2.2.3.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2.3.1.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бюджетных мер принуждения;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2.3.2.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неперечисления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2.3.3.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2.4.1.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невозврата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финансовым управлением решения о применении бюджетной меры принуждения;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2.4.2.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неперечисления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финансовым управлением решения о применении бюджетной меры принуждения.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Решение о бесспорном взыскании суммы средств межбюджетного трансферта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2.5.1.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2.5.2.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2.6.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Решение о сокращение предоставления межбюджетных трансфертов (за исключением субвенций)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средств межбюджетного трансферта, имеющего целевое назначение, в размере суммы средств, использованных не по целевому назначению;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2.6.2.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2.6.3.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2.6.4.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превышения предельных значений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установленных пунктом 3 статьи 92.1 Бюджетного кодекса Российской Федерации, в размере суммы средств, превышающих предельные значения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2.6.5.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Решение о приостановлении предоставления межбюджетных трансфертов (за исключением субвенций)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невозврата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несвоевременного возврата бюджетного кредита, в размере суммы непогашенных остатков бюджетного кредита;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2.7.4.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неперечисления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несвоевременного перечисления платы за пользование средствами бюджетного кредита, в размере суммы непогашенного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остатка платы за пользование средствами бюджетного кредита, начисленного на день принятия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применении бюджетной меры принуждения.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2.7.5.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2.7.6.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2.7.7.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превышения предельных значений дефицита бюджета поселения, установленных пунктом 3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2.7.8.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III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принятия и исполнения решения о применении </w:t>
      </w: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принуждения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осуществляется в соответствии с Правилами принятия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г. № 91 (далее - Правила), с учетом особенностей, определенных настоящим</w:t>
      </w:r>
      <w:proofErr w:type="gram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разделом Порядка.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основании поступившего уведомления по форме согласно приложению №1,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о применении бюджетных мер принуждения по форме согласно приложению № 3 к настоящему Порядку;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применении бюджетных мер принуждения по форме согласно приложению № 4 к настоящему Порядку.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Бюджетные меры принуждения за совершение бюджетного нарушения применяется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уведомлений о применении бюджетных мер принуждения.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Уведомления о применении бюджетных мер принуждений регистрируются в течение двух рабочих дней со дня их поступления в журнале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регистрации уведомлений по форме согласно приложению № 2 к настоящему порядку.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3.5.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Бюджетные меры принуждения подлежат применению в течение 30 календарных дней после получения уведомлений о применении бюджетных мер принуждения от государственных (муниципальных) органов внутреннего финансового контроля.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взыскании средств межбюджетного трансферта, остатков непогашенных кредитов.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3.7.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Приостановление (сокращение) предоставления межбюджетных трансфертов (за исключением субвенций), осуществляются в порядке, установленном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3.8.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случае признания в судебном порядке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лица администрации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направившего уведомление, </w:t>
      </w:r>
      <w:proofErr w:type="gram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незаконным</w:t>
      </w:r>
      <w:proofErr w:type="gram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, в течение 5 рабочих дней со дня вступления в законную силу судебного акта, отозвать уведомление.</w:t>
      </w: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3.9.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7 рабочих дней со дня поступления сообщения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должностного лица администрации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возвращает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должностному лицу администрации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о применении бюджетной меры принуждения.</w:t>
      </w:r>
      <w:proofErr w:type="gramEnd"/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№1 к Порядку исполнения решения о применении бюджетных мер принуждения</w:t>
      </w:r>
    </w:p>
    <w:p w:rsidR="001E5C6C" w:rsidRPr="009D11B2" w:rsidRDefault="001E5C6C" w:rsidP="001E5C6C">
      <w:pPr>
        <w:spacing w:after="0" w:line="259" w:lineRule="auto"/>
        <w:ind w:left="623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№__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О применении бюджетных мер принуждения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т «__» _______ 20__ г.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акта проверки (ревизии) от «__» _______20__г. №_____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______________________________________________________ 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(полное наименование объекта контроля)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установлено:________________________________________________________________________________________________________________________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(излагаются обстоятельства совершенного нарушения бюджетного законодательства Российской Федерации)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___ Бюджетного кодекса Российской Федерации за допущенные нарушения предлагаю:</w:t>
      </w:r>
    </w:p>
    <w:p w:rsidR="001E5C6C" w:rsidRPr="00DC2880" w:rsidRDefault="001E5C6C" w:rsidP="001E5C6C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80">
        <w:rPr>
          <w:rFonts w:ascii="Times New Roman" w:eastAsia="Calibri" w:hAnsi="Times New Roman" w:cs="Times New Roman"/>
          <w:sz w:val="28"/>
          <w:szCs w:val="28"/>
          <w:lang w:eastAsia="en-US"/>
        </w:rPr>
        <w:t>Взыскать средства бюджета сельского поселения Угузевский сельсовет муниципального района Бирский район Республики Башкортостан в сумме _________________________________________________________________________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(цифрами и прописью)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бесспорном порядке со счета №____________________________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</w:p>
    <w:p w:rsidR="001E5C6C" w:rsidRPr="009D11B2" w:rsidRDefault="001E5C6C" w:rsidP="001E5C6C">
      <w:pPr>
        <w:spacing w:after="0" w:line="259" w:lineRule="auto"/>
        <w:ind w:left="297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(№ счета получателя бюджетных средств бюджета</w:t>
      </w:r>
      <w:r w:rsidRPr="00DC2880">
        <w:t xml:space="preserve"> </w:t>
      </w:r>
      <w:r w:rsidRPr="00DC2880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 Угузевский сельсовет</w:t>
      </w: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муниципального района Бирский район Республики Башкортостан)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proofErr w:type="gramStart"/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банка получателя средств бюджета</w:t>
      </w:r>
      <w:r w:rsidRPr="00DC2880">
        <w:t xml:space="preserve"> </w:t>
      </w:r>
      <w:r w:rsidRPr="00DC2880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</w:t>
      </w:r>
      <w:proofErr w:type="gramEnd"/>
      <w:r w:rsidRPr="00DC288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Угузевский сельсовет</w:t>
      </w: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муниципального района Бирский район Республики Башкортостан)</w:t>
      </w:r>
    </w:p>
    <w:p w:rsidR="001E5C6C" w:rsidRPr="009D11B2" w:rsidRDefault="001E5C6C" w:rsidP="001E5C6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БИК</w:t>
      </w:r>
      <w:proofErr w:type="spellEnd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1E5C6C" w:rsidRPr="009D11B2" w:rsidRDefault="001E5C6C" w:rsidP="001E5C6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ИНН__________________</w:t>
      </w:r>
    </w:p>
    <w:p w:rsidR="001E5C6C" w:rsidRPr="009D11B2" w:rsidRDefault="001E5C6C" w:rsidP="001E5C6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адрес: ________________________________________________</w:t>
      </w:r>
    </w:p>
    <w:p w:rsidR="001E5C6C" w:rsidRPr="009D11B2" w:rsidRDefault="001E5C6C" w:rsidP="001E5C6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(индекс, почтовый адрес)</w:t>
      </w:r>
    </w:p>
    <w:p w:rsidR="001E5C6C" w:rsidRPr="00DC2880" w:rsidRDefault="001E5C6C" w:rsidP="001E5C6C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80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Приостановить предоставление межбюджетных трансфертов (За исключением субвенций) из бюджета сельского поселения Угузевский сельсовет муниципального района Бирский район Республики Башкортостан _________________________________________________________________________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получателя межбюджетных трансфертов)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сумме 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(цифрами и прописью)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DC2880" w:rsidRDefault="001E5C6C" w:rsidP="001E5C6C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Сократить предоставление межбюджетных трансфертов (за исключением субвенций) из бюджета сельского поселения Угузевский сельсовет муниципального </w:t>
      </w:r>
      <w:r w:rsidRPr="00DC28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 Бирский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28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получателя межбюджетных трансфертов)</w:t>
      </w: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сумме __________________________________________________________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(цифрами и прописью)</w:t>
      </w:r>
    </w:p>
    <w:p w:rsidR="001E5C6C" w:rsidRPr="009D11B2" w:rsidRDefault="001E5C6C" w:rsidP="001E5C6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______________________    ___________________</w:t>
      </w:r>
    </w:p>
    <w:p w:rsidR="001E5C6C" w:rsidRPr="00DC2880" w:rsidRDefault="001E5C6C" w:rsidP="001E5C6C">
      <w:pPr>
        <w:tabs>
          <w:tab w:val="left" w:pos="3630"/>
          <w:tab w:val="left" w:pos="715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(подпись)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(Ф.И.О.)</w:t>
      </w: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1"/>
        <w:shd w:val="clear" w:color="auto" w:fill="auto"/>
        <w:ind w:left="9072" w:firstLine="0"/>
        <w:rPr>
          <w:bCs/>
          <w:color w:val="000000"/>
          <w:sz w:val="28"/>
          <w:szCs w:val="28"/>
          <w:lang w:bidi="ru-RU"/>
        </w:rPr>
        <w:sectPr w:rsidR="001E5C6C" w:rsidSect="001E5C6C">
          <w:pgSz w:w="11906" w:h="16838"/>
          <w:pgMar w:top="1135" w:right="425" w:bottom="851" w:left="1134" w:header="709" w:footer="709" w:gutter="0"/>
          <w:cols w:space="708"/>
          <w:docGrid w:linePitch="360"/>
        </w:sectPr>
      </w:pPr>
    </w:p>
    <w:p w:rsidR="001E5C6C" w:rsidRPr="00583329" w:rsidRDefault="001E5C6C" w:rsidP="001E5C6C">
      <w:pPr>
        <w:pStyle w:val="1"/>
        <w:shd w:val="clear" w:color="auto" w:fill="auto"/>
        <w:ind w:left="9072" w:firstLine="0"/>
        <w:rPr>
          <w:bCs/>
          <w:color w:val="000000"/>
          <w:sz w:val="28"/>
          <w:szCs w:val="28"/>
          <w:lang w:bidi="ru-RU"/>
        </w:rPr>
      </w:pPr>
      <w:r w:rsidRPr="00583329">
        <w:rPr>
          <w:bCs/>
          <w:color w:val="000000"/>
          <w:sz w:val="28"/>
          <w:szCs w:val="28"/>
          <w:lang w:bidi="ru-RU"/>
        </w:rPr>
        <w:lastRenderedPageBreak/>
        <w:t>Приложение №2 к Порядку исполнения решения о приме</w:t>
      </w:r>
      <w:r>
        <w:rPr>
          <w:bCs/>
          <w:color w:val="000000"/>
          <w:sz w:val="28"/>
          <w:szCs w:val="28"/>
          <w:lang w:bidi="ru-RU"/>
        </w:rPr>
        <w:t>нении бюджетных мер принуждения</w:t>
      </w:r>
    </w:p>
    <w:p w:rsidR="001E5C6C" w:rsidRDefault="001E5C6C" w:rsidP="001E5C6C">
      <w:pPr>
        <w:pStyle w:val="1"/>
        <w:shd w:val="clear" w:color="auto" w:fill="auto"/>
        <w:ind w:left="9072"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E5C6C" w:rsidRDefault="001E5C6C" w:rsidP="001E5C6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E5C6C" w:rsidRDefault="001E5C6C" w:rsidP="001E5C6C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ЖУРНАЛ</w:t>
      </w:r>
    </w:p>
    <w:p w:rsidR="001E5C6C" w:rsidRDefault="001E5C6C" w:rsidP="001E5C6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РЕГИСТРАЦИИ УВЕДОМЛЕНИЙ О ПРИМЕНЕНИИ БЮДЖЕТНЫХ МЕР ПРИНУЖДЕНИЯ</w:t>
      </w:r>
    </w:p>
    <w:tbl>
      <w:tblPr>
        <w:tblOverlap w:val="never"/>
        <w:tblW w:w="149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580"/>
        <w:gridCol w:w="2263"/>
        <w:gridCol w:w="3409"/>
        <w:gridCol w:w="1775"/>
        <w:gridCol w:w="1534"/>
        <w:gridCol w:w="2671"/>
        <w:gridCol w:w="1217"/>
      </w:tblGrid>
      <w:tr w:rsidR="001E5C6C" w:rsidTr="00C065BF">
        <w:trPr>
          <w:trHeight w:hRule="exact" w:val="28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и дата уведомления о применении бюджетных мер принуждения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органа (государственного) финансового контроля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муниципального образования, финансовые органы (главные распорядители (распорядители) и получатели бюджетных средств) которого совершили бюджетное нарушение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и дата решения (приказа) о применении бюджетных мер принуждения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C6C" w:rsidRDefault="001E5C6C" w:rsidP="00C065B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Отметка об исполнении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C6C" w:rsidRDefault="001E5C6C" w:rsidP="00C065B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1E5C6C" w:rsidTr="00C065BF">
        <w:trPr>
          <w:trHeight w:hRule="exact" w:val="151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/>
        </w:tc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/>
        </w:tc>
        <w:tc>
          <w:tcPr>
            <w:tcW w:w="34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C6C" w:rsidRDefault="001E5C6C" w:rsidP="00C065BF"/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Бюджетная мера принуждения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C6C" w:rsidRDefault="001E5C6C" w:rsidP="00C065B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</w:tr>
      <w:tr w:rsidR="001E5C6C" w:rsidTr="00C065BF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</w:tr>
      <w:tr w:rsidR="001E5C6C" w:rsidTr="00C065BF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</w:tr>
      <w:tr w:rsidR="001E5C6C" w:rsidTr="00C065BF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</w:tr>
      <w:tr w:rsidR="001E5C6C" w:rsidTr="00C065BF">
        <w:trPr>
          <w:trHeight w:hRule="exact" w:val="5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6C" w:rsidRDefault="001E5C6C" w:rsidP="00C065BF">
            <w:pPr>
              <w:rPr>
                <w:sz w:val="10"/>
                <w:szCs w:val="10"/>
              </w:rPr>
            </w:pPr>
          </w:p>
        </w:tc>
      </w:tr>
    </w:tbl>
    <w:p w:rsidR="001E5C6C" w:rsidRDefault="001E5C6C" w:rsidP="001E5C6C">
      <w:pPr>
        <w:rPr>
          <w:rFonts w:ascii="Times New Roman" w:hAnsi="Times New Roman" w:cs="Times New Roman"/>
          <w:sz w:val="28"/>
          <w:szCs w:val="28"/>
        </w:rPr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pStyle w:val="a3"/>
        <w:ind w:left="809"/>
        <w:jc w:val="both"/>
      </w:pPr>
    </w:p>
    <w:p w:rsidR="001E5C6C" w:rsidRDefault="001E5C6C" w:rsidP="001E5C6C">
      <w:pPr>
        <w:tabs>
          <w:tab w:val="left" w:pos="1020"/>
        </w:tabs>
        <w:spacing w:after="0" w:line="259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E5C6C" w:rsidSect="009D11B2"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№3 к Порядку исполнения решения о применении бюджетных мер принуждения 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«__»_________ 20__г.                                                                                   №____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О применении бюджетных мер принуждения к нарушителю бюджетного законодательства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уведомления от «__» ______ 20__г. №___ о применении бюджетных мер принуждения, в соответствии со статьями 306.2 и 306.3 Бюджетного коде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кса Российской Федерации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E5C6C" w:rsidRPr="009D11B2" w:rsidRDefault="001E5C6C" w:rsidP="001E5C6C">
      <w:pPr>
        <w:numPr>
          <w:ilvl w:val="0"/>
          <w:numId w:val="2"/>
        </w:numPr>
        <w:tabs>
          <w:tab w:val="left" w:pos="1020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Применить к 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участника бюджетного процесса)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меру бюджетного принуждения____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мера бюджетного принуждения, вид и размер средств, подлежащих к взысканию)</w:t>
      </w:r>
    </w:p>
    <w:p w:rsidR="001E5C6C" w:rsidRPr="009D11B2" w:rsidRDefault="001E5C6C" w:rsidP="001E5C6C">
      <w:pPr>
        <w:numPr>
          <w:ilvl w:val="0"/>
          <w:numId w:val="2"/>
        </w:numPr>
        <w:tabs>
          <w:tab w:val="left" w:pos="1020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со дня его подписания.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______________________    ___________________</w:t>
      </w:r>
    </w:p>
    <w:p w:rsidR="001E5C6C" w:rsidRPr="00DC2880" w:rsidRDefault="001E5C6C" w:rsidP="001E5C6C">
      <w:pPr>
        <w:tabs>
          <w:tab w:val="left" w:pos="3630"/>
          <w:tab w:val="left" w:pos="715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(подпись)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(Ф.И.О.)</w:t>
      </w: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№4 к Порядку исполнения решения о применении бюджетных мер принуждения 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«__»_________ 20__г.                                                                                   №____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применении бюджетных мер принуждения к нарушителю бюджетного законодательства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уведомления от «__» ______ 20__г. №___ о применении бюджетных мер принуждения, в соответствии с пунктом 8 Правил принятия финансовыми органами решений о применении бюджетных мер принуждения, решений об изменении  решений о применений бюджетных мер принуждения, решений об отмене решений о применений бюджетных мер принуждения или решений об отказе в применении бюджетных мер принуждения, утвержденных постановлением Правительства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 от 07.02.2019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№91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E5C6C" w:rsidRPr="009D11B2" w:rsidRDefault="001E5C6C" w:rsidP="001E5C6C">
      <w:pPr>
        <w:numPr>
          <w:ilvl w:val="0"/>
          <w:numId w:val="3"/>
        </w:numPr>
        <w:tabs>
          <w:tab w:val="left" w:pos="1020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 к ___________________________________________________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участника бюджетного процесса)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___________________________________________________________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>По следующим основаниям __________________________________________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9D11B2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(основания отказа)</w:t>
      </w:r>
    </w:p>
    <w:p w:rsidR="001E5C6C" w:rsidRPr="009D11B2" w:rsidRDefault="001E5C6C" w:rsidP="001E5C6C">
      <w:pPr>
        <w:numPr>
          <w:ilvl w:val="0"/>
          <w:numId w:val="3"/>
        </w:numPr>
        <w:tabs>
          <w:tab w:val="left" w:pos="1020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со дня его подписания.</w:t>
      </w: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tabs>
          <w:tab w:val="left" w:pos="10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C6C" w:rsidRPr="009D11B2" w:rsidRDefault="001E5C6C" w:rsidP="001E5C6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______________________    ___________________</w:t>
      </w:r>
    </w:p>
    <w:p w:rsidR="001E5C6C" w:rsidRPr="00DC2880" w:rsidRDefault="001E5C6C" w:rsidP="001E5C6C">
      <w:pPr>
        <w:tabs>
          <w:tab w:val="left" w:pos="3630"/>
          <w:tab w:val="left" w:pos="715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9D11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(подпись)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</w:t>
      </w:r>
      <w:r w:rsidRPr="00DC288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(Ф.И.О.)</w:t>
      </w:r>
    </w:p>
    <w:p w:rsidR="001E5C6C" w:rsidRPr="009D11B2" w:rsidRDefault="001E5C6C" w:rsidP="001E5C6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A3E7C" w:rsidRDefault="009A3E7C"/>
    <w:sectPr w:rsidR="009A3E7C" w:rsidSect="001E5C6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B2E"/>
    <w:multiLevelType w:val="hybridMultilevel"/>
    <w:tmpl w:val="BB30C08E"/>
    <w:lvl w:ilvl="0" w:tplc="2B00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9BC"/>
    <w:multiLevelType w:val="hybridMultilevel"/>
    <w:tmpl w:val="395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5A8"/>
    <w:multiLevelType w:val="hybridMultilevel"/>
    <w:tmpl w:val="320695A8"/>
    <w:lvl w:ilvl="0" w:tplc="A21CA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C6C"/>
    <w:rsid w:val="001E5C6C"/>
    <w:rsid w:val="009A3E7C"/>
    <w:rsid w:val="00C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C6C"/>
    <w:pPr>
      <w:widowControl w:val="0"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E5C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1E5C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1E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1E5C6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1E5C6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3141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2022-05-18T12:06:00Z</dcterms:created>
  <dcterms:modified xsi:type="dcterms:W3CDTF">2022-05-18T12:08:00Z</dcterms:modified>
</cp:coreProperties>
</file>